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DF6C" w14:textId="2F93D2FC" w:rsidR="00D0198E" w:rsidRDefault="00C312F1" w:rsidP="00D0198E">
      <w:pPr>
        <w:rPr>
          <w:sz w:val="28"/>
          <w:szCs w:val="28"/>
        </w:rPr>
      </w:pPr>
      <w:r>
        <w:rPr>
          <w:sz w:val="28"/>
          <w:szCs w:val="28"/>
        </w:rPr>
        <w:t>Early Legislative Action Results in Many New Laws</w:t>
      </w:r>
    </w:p>
    <w:p w14:paraId="6DA75EB6" w14:textId="216D6EDC" w:rsidR="00D0198E" w:rsidRDefault="00C312F1" w:rsidP="00D0198E">
      <w:pPr>
        <w:rPr>
          <w:sz w:val="28"/>
          <w:szCs w:val="28"/>
        </w:rPr>
      </w:pPr>
      <w:r>
        <w:rPr>
          <w:sz w:val="28"/>
          <w:szCs w:val="28"/>
        </w:rPr>
        <w:t xml:space="preserve">During the first month </w:t>
      </w:r>
      <w:r w:rsidR="00D0198E">
        <w:rPr>
          <w:sz w:val="28"/>
          <w:szCs w:val="28"/>
        </w:rPr>
        <w:t>of session, the</w:t>
      </w:r>
      <w:r>
        <w:rPr>
          <w:sz w:val="28"/>
          <w:szCs w:val="28"/>
        </w:rPr>
        <w:t xml:space="preserve"> State L</w:t>
      </w:r>
      <w:r w:rsidR="00D0198E">
        <w:rPr>
          <w:sz w:val="28"/>
          <w:szCs w:val="28"/>
        </w:rPr>
        <w:t xml:space="preserve">egislature addressed </w:t>
      </w:r>
      <w:proofErr w:type="gramStart"/>
      <w:r w:rsidR="00D0198E">
        <w:rPr>
          <w:sz w:val="28"/>
          <w:szCs w:val="28"/>
        </w:rPr>
        <w:t>a number of</w:t>
      </w:r>
      <w:proofErr w:type="gramEnd"/>
      <w:r w:rsidR="00D0198E">
        <w:rPr>
          <w:sz w:val="28"/>
          <w:szCs w:val="28"/>
        </w:rPr>
        <w:t xml:space="preserve"> previously stalled issues.  The following bills of general interest and importance have already passed the Legislature and been enacted.</w:t>
      </w:r>
    </w:p>
    <w:p w14:paraId="71DAB738" w14:textId="3980A07A" w:rsidR="00D0198E" w:rsidRPr="00750B3F" w:rsidRDefault="00D0198E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50B3F">
        <w:rPr>
          <w:sz w:val="28"/>
          <w:szCs w:val="28"/>
        </w:rPr>
        <w:t>Voting Rights</w:t>
      </w:r>
    </w:p>
    <w:p w14:paraId="0FAD6DB1" w14:textId="3C554806" w:rsidR="00D0198E" w:rsidRDefault="00D0198E" w:rsidP="00D019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Early voting</w:t>
      </w:r>
    </w:p>
    <w:p w14:paraId="2EB8CF98" w14:textId="0935B17F" w:rsidR="00D0198E" w:rsidRDefault="00D0198E" w:rsidP="00D019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Early registration</w:t>
      </w:r>
      <w:r w:rsidR="007F4D99">
        <w:rPr>
          <w:sz w:val="28"/>
          <w:szCs w:val="28"/>
        </w:rPr>
        <w:t xml:space="preserve"> - </w:t>
      </w:r>
      <w:r w:rsidR="007F4D99" w:rsidRPr="007F4D99">
        <w:rPr>
          <w:sz w:val="28"/>
          <w:szCs w:val="28"/>
        </w:rPr>
        <w:t>forms to include a space for pre-registering applicants at least 16 years of age</w:t>
      </w:r>
    </w:p>
    <w:p w14:paraId="5E3A8C0A" w14:textId="5DE3AA46" w:rsidR="00D0198E" w:rsidRDefault="00D0198E" w:rsidP="00D019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Automatic registration</w:t>
      </w:r>
      <w:r w:rsidR="007F4D99" w:rsidRPr="007F4D99">
        <w:t xml:space="preserve"> </w:t>
      </w:r>
      <w:r w:rsidR="007F4D99">
        <w:t xml:space="preserve">- </w:t>
      </w:r>
      <w:r w:rsidR="007F4D99" w:rsidRPr="007F4D99">
        <w:rPr>
          <w:sz w:val="28"/>
          <w:szCs w:val="28"/>
        </w:rPr>
        <w:t>automatically transfer</w:t>
      </w:r>
      <w:r w:rsidR="007F4D99">
        <w:rPr>
          <w:sz w:val="28"/>
          <w:szCs w:val="28"/>
        </w:rPr>
        <w:t>s</w:t>
      </w:r>
      <w:r w:rsidR="007F4D99" w:rsidRPr="007F4D99">
        <w:rPr>
          <w:sz w:val="28"/>
          <w:szCs w:val="28"/>
        </w:rPr>
        <w:t xml:space="preserve"> a voter's registration when they move within New York State</w:t>
      </w:r>
    </w:p>
    <w:p w14:paraId="1045CAC7" w14:textId="77777777" w:rsidR="001C7617" w:rsidRPr="001C7617" w:rsidRDefault="001C7617" w:rsidP="001C76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7617">
        <w:rPr>
          <w:sz w:val="28"/>
          <w:szCs w:val="28"/>
        </w:rPr>
        <w:t xml:space="preserve">Proposed Constitutional Amendments </w:t>
      </w:r>
    </w:p>
    <w:p w14:paraId="6080E72B" w14:textId="7843EC0B" w:rsidR="001C7617" w:rsidRPr="001C7617" w:rsidRDefault="001C7617" w:rsidP="001C76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C7617">
        <w:rPr>
          <w:sz w:val="28"/>
          <w:szCs w:val="28"/>
        </w:rPr>
        <w:t xml:space="preserve">No Excuse Absentee Ballot </w:t>
      </w:r>
    </w:p>
    <w:p w14:paraId="7F5E591B" w14:textId="0E420812" w:rsidR="000D792E" w:rsidRPr="001C7617" w:rsidRDefault="001C7617" w:rsidP="001C76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C7617">
        <w:rPr>
          <w:sz w:val="28"/>
          <w:szCs w:val="28"/>
        </w:rPr>
        <w:t xml:space="preserve"> Same Day Voter Registration</w:t>
      </w:r>
    </w:p>
    <w:p w14:paraId="42C569B5" w14:textId="08FD5148" w:rsidR="00D0198E" w:rsidRPr="00750B3F" w:rsidRDefault="00D0198E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50B3F">
        <w:rPr>
          <w:sz w:val="28"/>
          <w:szCs w:val="28"/>
        </w:rPr>
        <w:t>Change in Primary Date</w:t>
      </w:r>
      <w:r w:rsidR="00633A35" w:rsidRPr="00750B3F">
        <w:rPr>
          <w:sz w:val="28"/>
          <w:szCs w:val="28"/>
        </w:rPr>
        <w:t xml:space="preserve"> – </w:t>
      </w:r>
      <w:r w:rsidR="007F4D99" w:rsidRPr="00750B3F">
        <w:rPr>
          <w:sz w:val="28"/>
          <w:szCs w:val="28"/>
        </w:rPr>
        <w:t>The combined federal and state primary would be held in June</w:t>
      </w:r>
    </w:p>
    <w:p w14:paraId="6B8014F1" w14:textId="77777777" w:rsidR="00750B3F" w:rsidRDefault="00D0198E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End LLC loophole</w:t>
      </w:r>
      <w:r w:rsidR="007F4D99">
        <w:rPr>
          <w:sz w:val="28"/>
          <w:szCs w:val="28"/>
        </w:rPr>
        <w:t xml:space="preserve"> – requires these types of corporations be limited to $5000 annual campaign contributions</w:t>
      </w:r>
    </w:p>
    <w:p w14:paraId="0EBF0B12" w14:textId="6899B34A" w:rsidR="00B136D4" w:rsidRPr="00750B3F" w:rsidRDefault="00C312F1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750B3F">
        <w:rPr>
          <w:sz w:val="28"/>
          <w:szCs w:val="28"/>
        </w:rPr>
        <w:t>P</w:t>
      </w:r>
      <w:r w:rsidR="00B136D4" w:rsidRPr="00750B3F">
        <w:rPr>
          <w:sz w:val="28"/>
          <w:szCs w:val="28"/>
        </w:rPr>
        <w:t xml:space="preserve">rohibit the possession, manufacture, transportation, or </w:t>
      </w:r>
      <w:r w:rsidR="00B136D4" w:rsidRPr="00750B3F">
        <w:rPr>
          <w:sz w:val="28"/>
          <w:szCs w:val="28"/>
        </w:rPr>
        <w:t>sale</w:t>
      </w:r>
      <w:r w:rsidR="00B136D4" w:rsidRPr="00750B3F">
        <w:rPr>
          <w:sz w:val="28"/>
          <w:szCs w:val="28"/>
        </w:rPr>
        <w:t xml:space="preserve"> of a rapid-fire modification device including bump stocks, trigger cranks, binary trigger systems, and burst trigger systems.  </w:t>
      </w:r>
    </w:p>
    <w:p w14:paraId="24D99FB6" w14:textId="06F575A2" w:rsidR="00B136D4" w:rsidRPr="00B136D4" w:rsidRDefault="00C312F1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B136D4" w:rsidRPr="00B136D4">
        <w:rPr>
          <w:sz w:val="28"/>
          <w:szCs w:val="28"/>
        </w:rPr>
        <w:t xml:space="preserve">stablish a </w:t>
      </w:r>
      <w:r w:rsidR="00B136D4" w:rsidRPr="00B136D4">
        <w:rPr>
          <w:sz w:val="28"/>
          <w:szCs w:val="28"/>
        </w:rPr>
        <w:t>3</w:t>
      </w:r>
      <w:r w:rsidR="00B136D4" w:rsidRPr="00B136D4">
        <w:rPr>
          <w:sz w:val="28"/>
          <w:szCs w:val="28"/>
        </w:rPr>
        <w:t>0-day waiting period before a licensed gun dealer may deliver a firearm, shotgun or rifle to a purchaser who has not cleared a background check.</w:t>
      </w:r>
    </w:p>
    <w:p w14:paraId="0BD5B110" w14:textId="15BD23EB" w:rsidR="00B136D4" w:rsidRDefault="00B136D4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Child Victims Act – extends the statute of limitations </w:t>
      </w:r>
      <w:r w:rsidRPr="00B136D4">
        <w:rPr>
          <w:sz w:val="28"/>
          <w:szCs w:val="28"/>
        </w:rPr>
        <w:t>involving sex offenses against a child</w:t>
      </w:r>
      <w:r>
        <w:rPr>
          <w:sz w:val="28"/>
          <w:szCs w:val="28"/>
        </w:rPr>
        <w:t>, allowing</w:t>
      </w:r>
      <w:r w:rsidRPr="00B136D4">
        <w:rPr>
          <w:sz w:val="28"/>
          <w:szCs w:val="28"/>
        </w:rPr>
        <w:t xml:space="preserve"> a lawsuit by a victim up until the victim turns 55 years of age.</w:t>
      </w:r>
    </w:p>
    <w:p w14:paraId="7253BF02" w14:textId="0C49C828" w:rsidR="00B136D4" w:rsidRDefault="00B136D4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136D4">
        <w:rPr>
          <w:sz w:val="28"/>
          <w:szCs w:val="28"/>
        </w:rPr>
        <w:t xml:space="preserve">The Dream Act - </w:t>
      </w:r>
      <w:r w:rsidRPr="00B136D4">
        <w:rPr>
          <w:sz w:val="28"/>
          <w:szCs w:val="28"/>
        </w:rPr>
        <w:t>ensur</w:t>
      </w:r>
      <w:r w:rsidRPr="00B136D4">
        <w:rPr>
          <w:sz w:val="28"/>
          <w:szCs w:val="28"/>
        </w:rPr>
        <w:t>ing</w:t>
      </w:r>
      <w:r w:rsidRPr="00B136D4">
        <w:rPr>
          <w:sz w:val="28"/>
          <w:szCs w:val="28"/>
        </w:rPr>
        <w:t xml:space="preserve"> immigrant children </w:t>
      </w:r>
      <w:proofErr w:type="gramStart"/>
      <w:r w:rsidRPr="00B136D4">
        <w:rPr>
          <w:sz w:val="28"/>
          <w:szCs w:val="28"/>
        </w:rPr>
        <w:t>are able to</w:t>
      </w:r>
      <w:proofErr w:type="gramEnd"/>
      <w:r w:rsidRPr="00B136D4">
        <w:rPr>
          <w:sz w:val="28"/>
          <w:szCs w:val="28"/>
        </w:rPr>
        <w:t xml:space="preserve"> access higher education</w:t>
      </w:r>
    </w:p>
    <w:p w14:paraId="05906F24" w14:textId="3693F85A" w:rsidR="00B136D4" w:rsidRDefault="00B136D4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B136D4">
        <w:rPr>
          <w:sz w:val="28"/>
          <w:szCs w:val="28"/>
        </w:rPr>
        <w:t>rotect</w:t>
      </w:r>
      <w:r>
        <w:rPr>
          <w:sz w:val="28"/>
          <w:szCs w:val="28"/>
        </w:rPr>
        <w:t>ing</w:t>
      </w:r>
      <w:r w:rsidRPr="00B136D4">
        <w:rPr>
          <w:sz w:val="28"/>
          <w:szCs w:val="28"/>
        </w:rPr>
        <w:t xml:space="preserve"> women's reproductive rights</w:t>
      </w:r>
      <w:r>
        <w:rPr>
          <w:sz w:val="28"/>
          <w:szCs w:val="28"/>
        </w:rPr>
        <w:t xml:space="preserve"> by </w:t>
      </w:r>
      <w:r w:rsidR="007F4D99">
        <w:rPr>
          <w:sz w:val="28"/>
          <w:szCs w:val="28"/>
        </w:rPr>
        <w:t>amending NYS law to include rights currently in effect under Supreme Court decisions,</w:t>
      </w:r>
      <w:r w:rsidRPr="00B136D4">
        <w:rPr>
          <w:sz w:val="28"/>
          <w:szCs w:val="28"/>
        </w:rPr>
        <w:t xml:space="preserve"> </w:t>
      </w:r>
      <w:r w:rsidR="007F4D99">
        <w:rPr>
          <w:sz w:val="28"/>
          <w:szCs w:val="28"/>
        </w:rPr>
        <w:t xml:space="preserve">prohibiting discrimination of employees based upon reproductive health decisions, </w:t>
      </w:r>
      <w:r w:rsidRPr="00B136D4">
        <w:rPr>
          <w:sz w:val="28"/>
          <w:szCs w:val="28"/>
        </w:rPr>
        <w:t>and grant</w:t>
      </w:r>
      <w:r w:rsidR="007F4D99">
        <w:rPr>
          <w:sz w:val="28"/>
          <w:szCs w:val="28"/>
        </w:rPr>
        <w:t>ing</w:t>
      </w:r>
      <w:r w:rsidRPr="00B136D4">
        <w:rPr>
          <w:sz w:val="28"/>
          <w:szCs w:val="28"/>
        </w:rPr>
        <w:t xml:space="preserve"> all New Yorkers access to family planning.</w:t>
      </w:r>
    </w:p>
    <w:p w14:paraId="65AB5941" w14:textId="66D0D4ED" w:rsidR="007F4D99" w:rsidRDefault="007F4D99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7F4D99">
        <w:rPr>
          <w:sz w:val="28"/>
          <w:szCs w:val="28"/>
        </w:rPr>
        <w:t>rohibit</w:t>
      </w:r>
      <w:r>
        <w:rPr>
          <w:sz w:val="28"/>
          <w:szCs w:val="28"/>
        </w:rPr>
        <w:t>s</w:t>
      </w:r>
      <w:r w:rsidRPr="007F4D99">
        <w:rPr>
          <w:sz w:val="28"/>
          <w:szCs w:val="28"/>
        </w:rPr>
        <w:t xml:space="preserve"> oil and natural gas drilling in New York's coastal areas</w:t>
      </w:r>
    </w:p>
    <w:p w14:paraId="74856A8D" w14:textId="45822E89" w:rsidR="007F4D99" w:rsidRPr="00B136D4" w:rsidRDefault="007F4D99" w:rsidP="00750B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F4D99">
        <w:rPr>
          <w:sz w:val="28"/>
          <w:szCs w:val="28"/>
        </w:rPr>
        <w:lastRenderedPageBreak/>
        <w:t>Gender Expression Non-Discrimination Act (GENDA) to protect transgender and non-gender conforming New Yorkers from discrimination, as well as legislation to ban mental health professionals from using the practice of conversion therapy on patients under the age of 18.</w:t>
      </w:r>
    </w:p>
    <w:p w14:paraId="46D335BD" w14:textId="77777777" w:rsidR="00D0198E" w:rsidRPr="00D0198E" w:rsidRDefault="00D0198E" w:rsidP="00B136D4">
      <w:pPr>
        <w:pStyle w:val="ListParagraph"/>
        <w:rPr>
          <w:sz w:val="28"/>
          <w:szCs w:val="28"/>
        </w:rPr>
      </w:pPr>
    </w:p>
    <w:p w14:paraId="1F6DD850" w14:textId="241C6461" w:rsidR="00D0198E" w:rsidRPr="00750B3F" w:rsidRDefault="00D0198E" w:rsidP="00D0198E">
      <w:pPr>
        <w:rPr>
          <w:b/>
          <w:sz w:val="28"/>
          <w:szCs w:val="28"/>
        </w:rPr>
      </w:pPr>
      <w:r w:rsidRPr="00750B3F">
        <w:rPr>
          <w:b/>
          <w:sz w:val="28"/>
          <w:szCs w:val="28"/>
        </w:rPr>
        <w:t>Other issues are being floated within the Governor’s budget</w:t>
      </w:r>
      <w:r w:rsidR="00750B3F">
        <w:rPr>
          <w:b/>
          <w:sz w:val="28"/>
          <w:szCs w:val="28"/>
        </w:rPr>
        <w:t xml:space="preserve"> and are subject to negotiations:</w:t>
      </w:r>
    </w:p>
    <w:p w14:paraId="577114F6" w14:textId="2774C97A" w:rsidR="00D0198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D0198E" w:rsidRPr="00D0198E">
        <w:rPr>
          <w:sz w:val="28"/>
          <w:szCs w:val="28"/>
        </w:rPr>
        <w:t>require equal pay for substantially similar work and extend pay equity provisions to include all protected classes</w:t>
      </w:r>
    </w:p>
    <w:p w14:paraId="2C4FBDCB" w14:textId="3B0B27B1" w:rsidR="00D0198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D0198E" w:rsidRPr="00D0198E">
        <w:rPr>
          <w:sz w:val="28"/>
          <w:szCs w:val="28"/>
        </w:rPr>
        <w:t xml:space="preserve">legalize adult </w:t>
      </w:r>
      <w:r w:rsidR="00933AB0">
        <w:rPr>
          <w:sz w:val="28"/>
          <w:szCs w:val="28"/>
        </w:rPr>
        <w:t xml:space="preserve">(over age 21) </w:t>
      </w:r>
      <w:r w:rsidR="00D0198E" w:rsidRPr="00D0198E">
        <w:rPr>
          <w:sz w:val="28"/>
          <w:szCs w:val="28"/>
        </w:rPr>
        <w:t>use of marijuana</w:t>
      </w:r>
      <w:r w:rsidR="009C72F2">
        <w:rPr>
          <w:sz w:val="28"/>
          <w:szCs w:val="28"/>
        </w:rPr>
        <w:t>,</w:t>
      </w:r>
      <w:r w:rsidR="009C72F2" w:rsidRPr="009C72F2">
        <w:t xml:space="preserve"> </w:t>
      </w:r>
      <w:r w:rsidR="009C72F2" w:rsidRPr="009C72F2">
        <w:rPr>
          <w:sz w:val="28"/>
          <w:szCs w:val="28"/>
        </w:rPr>
        <w:t>allow counties and cities with populations in excess of 100,000 to opt out of having adult use cannabis businesses in their municipalities.</w:t>
      </w:r>
      <w:r w:rsidR="000D792E">
        <w:rPr>
          <w:sz w:val="28"/>
          <w:szCs w:val="28"/>
        </w:rPr>
        <w:t xml:space="preserve">  The Governor’s proposal for taxes on marijuana are:  </w:t>
      </w:r>
      <w:r w:rsidR="000D792E" w:rsidRPr="00AB4735">
        <w:rPr>
          <w:sz w:val="28"/>
          <w:szCs w:val="28"/>
        </w:rPr>
        <w:t xml:space="preserve">administration of the regulated cannabis program; data gathering; monitoring and reporting; the operations of the Governor’s Traffic Safety Committee; small business development and loans; substance abuse services; harm reduction; mental health treatment and prevention; public health education and intervention; research on cannabis uses and applications; </w:t>
      </w:r>
    </w:p>
    <w:p w14:paraId="6FA0F1FB" w14:textId="75DCC3AD" w:rsidR="00D0198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create </w:t>
      </w:r>
      <w:r w:rsidR="00633A35" w:rsidRPr="00AB4735">
        <w:rPr>
          <w:sz w:val="28"/>
          <w:szCs w:val="28"/>
        </w:rPr>
        <w:t>public financing of political campaigns beginning in 2020</w:t>
      </w:r>
    </w:p>
    <w:p w14:paraId="264324D2" w14:textId="2BAE3EEC" w:rsidR="00633A35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advance additional </w:t>
      </w:r>
      <w:r w:rsidR="00633A35" w:rsidRPr="00AB4735">
        <w:rPr>
          <w:sz w:val="28"/>
          <w:szCs w:val="28"/>
        </w:rPr>
        <w:t>ethics reform legislation t</w:t>
      </w:r>
      <w:r>
        <w:rPr>
          <w:sz w:val="28"/>
          <w:szCs w:val="28"/>
        </w:rPr>
        <w:t xml:space="preserve">o </w:t>
      </w:r>
      <w:r w:rsidR="00633A35" w:rsidRPr="00AB4735">
        <w:rPr>
          <w:sz w:val="28"/>
          <w:szCs w:val="28"/>
        </w:rPr>
        <w:t xml:space="preserve">require increased financial disclosure </w:t>
      </w:r>
    </w:p>
    <w:p w14:paraId="2C147C66" w14:textId="5E2658DD" w:rsidR="00D0198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Would e</w:t>
      </w:r>
      <w:r w:rsidR="00633A35">
        <w:rPr>
          <w:sz w:val="28"/>
          <w:szCs w:val="28"/>
        </w:rPr>
        <w:t>xtend</w:t>
      </w:r>
      <w:r w:rsidR="00D0198E" w:rsidRPr="00AB4735">
        <w:rPr>
          <w:sz w:val="28"/>
          <w:szCs w:val="28"/>
        </w:rPr>
        <w:t xml:space="preserve"> New York State system of rent regulation beyond the current expiration date of June 15, 2019, including reform of vacancy decontrol, preferential rent, and capital improvements</w:t>
      </w:r>
    </w:p>
    <w:p w14:paraId="724C0FFA" w14:textId="15C23F32" w:rsidR="00D0198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D0198E" w:rsidRPr="00AB4735">
        <w:rPr>
          <w:sz w:val="28"/>
          <w:szCs w:val="28"/>
        </w:rPr>
        <w:t>prohibit the request of applicant salary history as a factor in determining whether to offer employment, covering all protected classes;</w:t>
      </w:r>
    </w:p>
    <w:p w14:paraId="1A7BC27E" w14:textId="2AF418FF" w:rsidR="00471CE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D0198E" w:rsidRPr="00D0198E">
        <w:rPr>
          <w:sz w:val="28"/>
          <w:szCs w:val="28"/>
        </w:rPr>
        <w:t>ban certain single-use plastic bags statewide</w:t>
      </w:r>
    </w:p>
    <w:p w14:paraId="0EC3BD4B" w14:textId="3C4AFA0D" w:rsidR="00D0198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D0198E" w:rsidRPr="00D0198E">
        <w:rPr>
          <w:sz w:val="28"/>
          <w:szCs w:val="28"/>
        </w:rPr>
        <w:t xml:space="preserve">expand the bottle bill to include most non-alcoholic beverage containers.  </w:t>
      </w:r>
    </w:p>
    <w:p w14:paraId="06418C63" w14:textId="54688B0F" w:rsidR="00D0198E" w:rsidRPr="00633A35" w:rsidRDefault="00C312F1" w:rsidP="00933A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Proposes the </w:t>
      </w:r>
      <w:r w:rsidR="00D0198E" w:rsidRPr="00633A35">
        <w:rPr>
          <w:sz w:val="28"/>
          <w:szCs w:val="28"/>
        </w:rPr>
        <w:t xml:space="preserve">Climate Leadership Act: establish a statewide target of 100 percent clean energy by 2040 and would require the Department of Environmental Conservation to promulgate a greenhouse gas emissions </w:t>
      </w:r>
      <w:r w:rsidR="00D0198E" w:rsidRPr="00633A35">
        <w:rPr>
          <w:sz w:val="28"/>
          <w:szCs w:val="28"/>
        </w:rPr>
        <w:lastRenderedPageBreak/>
        <w:t>limit that would achieve a 40 percent reduction in emissions from 1990 levels by 2030</w:t>
      </w:r>
      <w:r w:rsidR="00471CEE" w:rsidRPr="00633A35">
        <w:rPr>
          <w:sz w:val="28"/>
          <w:szCs w:val="28"/>
        </w:rPr>
        <w:t xml:space="preserve">. </w:t>
      </w:r>
    </w:p>
    <w:p w14:paraId="4EE53397" w14:textId="7E086826" w:rsidR="00D0198E" w:rsidRPr="00D0198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Proposes </w:t>
      </w:r>
      <w:r w:rsidR="00D0198E" w:rsidRPr="00D0198E">
        <w:rPr>
          <w:sz w:val="28"/>
          <w:szCs w:val="28"/>
        </w:rPr>
        <w:t>a new appropriation of $500 million for clean water infrastructure</w:t>
      </w:r>
      <w:r w:rsidR="00471CEE">
        <w:rPr>
          <w:sz w:val="28"/>
          <w:szCs w:val="28"/>
        </w:rPr>
        <w:t xml:space="preserve">, </w:t>
      </w:r>
      <w:r w:rsidR="00471CEE" w:rsidRPr="00AB4735">
        <w:rPr>
          <w:sz w:val="28"/>
          <w:szCs w:val="28"/>
        </w:rPr>
        <w:t>mak</w:t>
      </w:r>
      <w:r w:rsidR="00471CEE">
        <w:rPr>
          <w:sz w:val="28"/>
          <w:szCs w:val="28"/>
        </w:rPr>
        <w:t>ing</w:t>
      </w:r>
      <w:r w:rsidR="00471CEE" w:rsidRPr="00AB4735">
        <w:rPr>
          <w:sz w:val="28"/>
          <w:szCs w:val="28"/>
        </w:rPr>
        <w:t xml:space="preserve"> a new $2.5 billion commitment over five years for a total of $5 billion.</w:t>
      </w:r>
    </w:p>
    <w:p w14:paraId="51A1F47C" w14:textId="662F15AB" w:rsidR="00471CEE" w:rsidRPr="00471CEE" w:rsidRDefault="00C312F1" w:rsidP="00471C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471CEE" w:rsidRPr="00471CEE">
        <w:rPr>
          <w:sz w:val="28"/>
          <w:szCs w:val="28"/>
        </w:rPr>
        <w:t>equire</w:t>
      </w:r>
      <w:r>
        <w:rPr>
          <w:sz w:val="28"/>
          <w:szCs w:val="28"/>
        </w:rPr>
        <w:t>s</w:t>
      </w:r>
      <w:r w:rsidR="00471CEE" w:rsidRPr="00471CEE">
        <w:rPr>
          <w:sz w:val="28"/>
          <w:szCs w:val="28"/>
        </w:rPr>
        <w:t xml:space="preserve"> state agencies and state authorities to contract only with internet service providers that adhere to net neutrality principles.</w:t>
      </w:r>
    </w:p>
    <w:p w14:paraId="7D0524D5" w14:textId="32CFB4B1" w:rsidR="00471CE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471CEE" w:rsidRPr="00AB4735">
        <w:rPr>
          <w:sz w:val="28"/>
          <w:szCs w:val="28"/>
        </w:rPr>
        <w:t>ban remanufactured limousines, require a Commercial Driver’s License (CDL) to operate a for-hire-vehicle with eight or more passengers, establish a DOT inspection fee of $120, and increase civil and criminal penalties for violations.</w:t>
      </w:r>
    </w:p>
    <w:p w14:paraId="18DDC6AA" w14:textId="7C6DC033" w:rsidR="00471CE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471CEE" w:rsidRPr="00AB4735">
        <w:rPr>
          <w:sz w:val="28"/>
          <w:szCs w:val="28"/>
        </w:rPr>
        <w:t xml:space="preserve">establish a congestion tolling zone south of 60th street in Manhattan and authorize the MTA’s </w:t>
      </w:r>
      <w:proofErr w:type="spellStart"/>
      <w:r w:rsidR="00471CEE" w:rsidRPr="00AB4735">
        <w:rPr>
          <w:sz w:val="28"/>
          <w:szCs w:val="28"/>
        </w:rPr>
        <w:t>Triborough</w:t>
      </w:r>
      <w:proofErr w:type="spellEnd"/>
      <w:r w:rsidR="00471CEE" w:rsidRPr="00AB4735">
        <w:rPr>
          <w:sz w:val="28"/>
          <w:szCs w:val="28"/>
        </w:rPr>
        <w:t xml:space="preserve"> Bridge and Tunnel Authority (TBTA) to design and implement the congestion tolling program, including setting the toll and any fees, with revenues dedicated to future MTA capital programs</w:t>
      </w:r>
    </w:p>
    <w:p w14:paraId="2A62E484" w14:textId="391C9873" w:rsidR="00471CE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Expands testing of self-driving motor vehicles</w:t>
      </w:r>
    </w:p>
    <w:p w14:paraId="1AC28728" w14:textId="0ED354ED" w:rsidR="00471CEE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Would allow</w:t>
      </w:r>
      <w:r w:rsidR="00471CEE" w:rsidRPr="00AB4735">
        <w:rPr>
          <w:sz w:val="28"/>
          <w:szCs w:val="28"/>
        </w:rPr>
        <w:t xml:space="preserve"> geriatric parole for individuals that are at least 55 years of age and suffering from a chronic or serious condition, disease, syndrome, or infirmity that renders the individual incapable of providing self-care within a correctional facility.</w:t>
      </w:r>
    </w:p>
    <w:p w14:paraId="2E3C2B7C" w14:textId="36A0B126" w:rsidR="00933AB0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933AB0" w:rsidRPr="00AB4735">
        <w:rPr>
          <w:sz w:val="28"/>
          <w:szCs w:val="28"/>
        </w:rPr>
        <w:t>make the two percent Property Tax Cap permanent</w:t>
      </w:r>
      <w:r w:rsidR="009C72F2">
        <w:rPr>
          <w:sz w:val="28"/>
          <w:szCs w:val="28"/>
        </w:rPr>
        <w:t>; it</w:t>
      </w:r>
      <w:r w:rsidR="009C72F2" w:rsidRPr="009C72F2">
        <w:t xml:space="preserve"> </w:t>
      </w:r>
      <w:r w:rsidR="009C72F2" w:rsidRPr="009C72F2">
        <w:rPr>
          <w:sz w:val="28"/>
          <w:szCs w:val="28"/>
        </w:rPr>
        <w:t>is scheduled to expire on June 16, 2020</w:t>
      </w:r>
    </w:p>
    <w:p w14:paraId="4F5C8773" w14:textId="6F41A92C" w:rsidR="009C72F2" w:rsidRDefault="00C312F1" w:rsidP="00D019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Proposes </w:t>
      </w:r>
      <w:r w:rsidR="009C72F2" w:rsidRPr="00AB4735">
        <w:rPr>
          <w:sz w:val="28"/>
          <w:szCs w:val="28"/>
        </w:rPr>
        <w:t>a five-year extension of the existing millionaire’s tax, which is scheduled to expire on December 31, 2019.</w:t>
      </w:r>
    </w:p>
    <w:p w14:paraId="23C9ED7F" w14:textId="06DECD15" w:rsidR="001C7617" w:rsidRDefault="00C312F1" w:rsidP="00633A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9C72F2" w:rsidRPr="001C7617">
        <w:rPr>
          <w:sz w:val="28"/>
          <w:szCs w:val="28"/>
        </w:rPr>
        <w:t>close the carried interest tax loophole and tax the carried interest income of hedge fund and private equity investors as ordinary income.</w:t>
      </w:r>
    </w:p>
    <w:p w14:paraId="2E1F039F" w14:textId="158A9B4E" w:rsidR="001C7617" w:rsidRDefault="00C312F1" w:rsidP="001C76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Proposes</w:t>
      </w:r>
      <w:r w:rsidR="001C7617" w:rsidRPr="001C7617">
        <w:rPr>
          <w:sz w:val="28"/>
          <w:szCs w:val="28"/>
        </w:rPr>
        <w:t xml:space="preserve"> a zero percent cap upon the growth in Basic and Enhanced STAR Exemption benefits beginning with the 2019-20 school year. The cap would not apply to the STAR credit program, which would be allowed to grow up to two percent.</w:t>
      </w:r>
    </w:p>
    <w:p w14:paraId="51427A2F" w14:textId="02C08D72" w:rsidR="001C7617" w:rsidRDefault="00C312F1" w:rsidP="001C76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Would a</w:t>
      </w:r>
      <w:r w:rsidR="001C7617" w:rsidRPr="00AB4735">
        <w:rPr>
          <w:sz w:val="28"/>
          <w:szCs w:val="28"/>
        </w:rPr>
        <w:t>llow first-time Enhanced STAR applicants to receive a filing extension for “good cause” and, if approved, allow the school district to adjust the school tax bill or provide a refund.</w:t>
      </w:r>
    </w:p>
    <w:p w14:paraId="737AB18F" w14:textId="2FFF003E" w:rsidR="001C7617" w:rsidRPr="001C7617" w:rsidRDefault="001C7617" w:rsidP="001C76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7617">
        <w:rPr>
          <w:sz w:val="28"/>
          <w:szCs w:val="28"/>
        </w:rPr>
        <w:lastRenderedPageBreak/>
        <w:t>Authorize</w:t>
      </w:r>
      <w:r w:rsidR="00C312F1">
        <w:rPr>
          <w:sz w:val="28"/>
          <w:szCs w:val="28"/>
        </w:rPr>
        <w:t>s</w:t>
      </w:r>
      <w:r w:rsidRPr="001C7617">
        <w:rPr>
          <w:sz w:val="28"/>
          <w:szCs w:val="28"/>
        </w:rPr>
        <w:t xml:space="preserve"> the Tax Department to verify annually the age and residency of Enhanced STAR recipients. Prohibits a taxpayer who made a material misstatement on a STAR Exemption application from receiving the STAR Credit for six years.   </w:t>
      </w:r>
    </w:p>
    <w:p w14:paraId="54A69647" w14:textId="1E4AC0C0" w:rsidR="00633A35" w:rsidRPr="001C7617" w:rsidRDefault="00C312F1" w:rsidP="00633A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Proposes a</w:t>
      </w:r>
      <w:r w:rsidR="00633A35" w:rsidRPr="001C7617">
        <w:rPr>
          <w:sz w:val="28"/>
          <w:szCs w:val="28"/>
        </w:rPr>
        <w:t xml:space="preserve"> Universal Access Commission to study ways to achieve universal health insurance coverage in New York State</w:t>
      </w:r>
    </w:p>
    <w:p w14:paraId="10FCE973" w14:textId="2F520D68" w:rsidR="00633A35" w:rsidRPr="00C312F1" w:rsidRDefault="00C312F1" w:rsidP="00633A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12F1">
        <w:rPr>
          <w:sz w:val="28"/>
          <w:szCs w:val="28"/>
        </w:rPr>
        <w:t xml:space="preserve">Proposes limitations on </w:t>
      </w:r>
      <w:r w:rsidR="00633A35" w:rsidRPr="00C312F1">
        <w:rPr>
          <w:sz w:val="28"/>
          <w:szCs w:val="28"/>
        </w:rPr>
        <w:t>state retiree health benefits.</w:t>
      </w:r>
    </w:p>
    <w:p w14:paraId="30D52D93" w14:textId="72A80AF8" w:rsidR="00633A35" w:rsidRPr="00633A35" w:rsidRDefault="00633A35" w:rsidP="00633A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12F1">
        <w:rPr>
          <w:sz w:val="28"/>
          <w:szCs w:val="28"/>
        </w:rPr>
        <w:t>Establish</w:t>
      </w:r>
      <w:r w:rsidRPr="00633A35">
        <w:rPr>
          <w:sz w:val="28"/>
          <w:szCs w:val="28"/>
        </w:rPr>
        <w:t xml:space="preserve"> a Floor for State Reimbursement for the Medicare Part B Premium: The Executive proposes language to maintain reimbursement of the standard Medicare Part B premium at current levels of $135.50 per month for new and existing retirees. Any future increases in reimbursement above this level would be subject to the annual budget process. </w:t>
      </w:r>
    </w:p>
    <w:p w14:paraId="6F03A23D" w14:textId="06B6DC02" w:rsidR="00633A35" w:rsidRPr="00633A35" w:rsidRDefault="00633A35" w:rsidP="00633A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3A35">
        <w:rPr>
          <w:sz w:val="28"/>
          <w:szCs w:val="28"/>
        </w:rPr>
        <w:t xml:space="preserve"> Eliminate the Income Related Monthly Adjustment Amount (IRMAA) Reimbursement:  The Executive Budget proposes language to eliminate state funding to support the IRMAA premium for the retirees with an income above $85,000 for individuals and $170,000 for couples. </w:t>
      </w:r>
    </w:p>
    <w:p w14:paraId="6FE11F53" w14:textId="5A972A61" w:rsidR="00633A35" w:rsidRPr="00633A35" w:rsidRDefault="00633A35" w:rsidP="00633A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3A35">
        <w:rPr>
          <w:sz w:val="28"/>
          <w:szCs w:val="28"/>
        </w:rPr>
        <w:t xml:space="preserve"> Implement Differential Premiums for Future State Retirees: The Executive proposes Article VII language to tie the amount of health care payments received by retirees to the number of years of state service for new employees.</w:t>
      </w:r>
    </w:p>
    <w:p w14:paraId="7D2AC030" w14:textId="08841BD8" w:rsidR="00933AB0" w:rsidRPr="009A5B1D" w:rsidRDefault="00933AB0" w:rsidP="009A5B1D">
      <w:pPr>
        <w:ind w:left="360"/>
        <w:rPr>
          <w:sz w:val="28"/>
          <w:szCs w:val="28"/>
        </w:rPr>
      </w:pPr>
    </w:p>
    <w:p w14:paraId="7F78560C" w14:textId="77777777" w:rsidR="00D0198E" w:rsidRPr="00AB4735" w:rsidRDefault="00D0198E" w:rsidP="00D0198E">
      <w:pPr>
        <w:rPr>
          <w:sz w:val="28"/>
          <w:szCs w:val="28"/>
        </w:rPr>
      </w:pPr>
    </w:p>
    <w:p w14:paraId="1DE7431E" w14:textId="77777777" w:rsidR="00D0198E" w:rsidRDefault="00D0198E"/>
    <w:sectPr w:rsidR="00D0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0ED6"/>
    <w:multiLevelType w:val="hybridMultilevel"/>
    <w:tmpl w:val="BB0C2BB2"/>
    <w:lvl w:ilvl="0" w:tplc="FE60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7BC"/>
    <w:multiLevelType w:val="hybridMultilevel"/>
    <w:tmpl w:val="6C6E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782F"/>
    <w:multiLevelType w:val="hybridMultilevel"/>
    <w:tmpl w:val="1988E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766C"/>
    <w:multiLevelType w:val="hybridMultilevel"/>
    <w:tmpl w:val="B8727AF2"/>
    <w:lvl w:ilvl="0" w:tplc="8618B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240F1"/>
    <w:multiLevelType w:val="hybridMultilevel"/>
    <w:tmpl w:val="4F2CDF90"/>
    <w:lvl w:ilvl="0" w:tplc="251297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7008E4"/>
    <w:multiLevelType w:val="hybridMultilevel"/>
    <w:tmpl w:val="14F6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8E"/>
    <w:rsid w:val="000D792E"/>
    <w:rsid w:val="001C7617"/>
    <w:rsid w:val="00471CEE"/>
    <w:rsid w:val="00633A35"/>
    <w:rsid w:val="00750B3F"/>
    <w:rsid w:val="007F4D99"/>
    <w:rsid w:val="00933AB0"/>
    <w:rsid w:val="00991D18"/>
    <w:rsid w:val="009A5B1D"/>
    <w:rsid w:val="009C72F2"/>
    <w:rsid w:val="00B136D4"/>
    <w:rsid w:val="00C312F1"/>
    <w:rsid w:val="00D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CF13"/>
  <w15:chartTrackingRefBased/>
  <w15:docId w15:val="{F0A62C78-C8A9-41F4-A6A8-C9E46BD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4</cp:revision>
  <dcterms:created xsi:type="dcterms:W3CDTF">2019-02-07T18:21:00Z</dcterms:created>
  <dcterms:modified xsi:type="dcterms:W3CDTF">2019-02-07T20:49:00Z</dcterms:modified>
</cp:coreProperties>
</file>